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4A534216" w14:textId="2C01FD70" w:rsidR="00FC0A17" w:rsidRDefault="00133EAF" w:rsidP="00A17E53">
      <w:pPr>
        <w:spacing w:after="0" w:line="240" w:lineRule="auto"/>
        <w:jc w:val="both"/>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63648DC6" wp14:editId="245D6617">
            <wp:extent cx="5746115" cy="2955290"/>
            <wp:effectExtent l="0" t="0" r="6985" b="0"/>
            <wp:docPr id="20104916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91686" name="Slika 2010491686"/>
                    <pic:cNvPicPr/>
                  </pic:nvPicPr>
                  <pic:blipFill>
                    <a:blip r:embed="rId12">
                      <a:extLst>
                        <a:ext uri="{28A0092B-C50C-407E-A947-70E740481C1C}">
                          <a14:useLocalDpi xmlns:a14="http://schemas.microsoft.com/office/drawing/2010/main" val="0"/>
                        </a:ext>
                      </a:extLst>
                    </a:blip>
                    <a:stretch>
                      <a:fillRect/>
                    </a:stretch>
                  </pic:blipFill>
                  <pic:spPr>
                    <a:xfrm>
                      <a:off x="0" y="0"/>
                      <a:ext cx="5746115" cy="2955290"/>
                    </a:xfrm>
                    <a:prstGeom prst="rect">
                      <a:avLst/>
                    </a:prstGeom>
                  </pic:spPr>
                </pic:pic>
              </a:graphicData>
            </a:graphic>
          </wp:inline>
        </w:drawing>
      </w:r>
    </w:p>
    <w:p w14:paraId="39393D83" w14:textId="77777777" w:rsidR="00133EAF" w:rsidRPr="002A3C45" w:rsidRDefault="00133EAF" w:rsidP="00A17E53">
      <w:pPr>
        <w:spacing w:after="0" w:line="240" w:lineRule="auto"/>
        <w:jc w:val="both"/>
        <w:rPr>
          <w:rFonts w:ascii="Times New Roman" w:hAnsi="Times New Roman"/>
          <w:b/>
          <w:color w:val="000000"/>
          <w:sz w:val="24"/>
          <w:szCs w:val="24"/>
        </w:rPr>
      </w:pPr>
    </w:p>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609643EE" w14:textId="2E224A50" w:rsidR="00DD00D2" w:rsidRDefault="00862231" w:rsidP="00133EAF">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Odlomakpopisa"/>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162474E2" w14:textId="0FA4BE92" w:rsidR="006D4E8F" w:rsidRDefault="006D4E8F"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Referencafusnot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lastRenderedPageBreak/>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Odlomakpopisa"/>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Odlomakpopisa"/>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lastRenderedPageBreak/>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Tijeloteksta"/>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Tijeloteksta"/>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6624526B"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 xml:space="preserve">u poljoprivredi, </w:t>
      </w:r>
      <w:r w:rsidR="00F22AB6" w:rsidRPr="006F7F72">
        <w:rPr>
          <w:sz w:val="24"/>
          <w:szCs w:val="24"/>
          <w:lang w:val="hr-HR"/>
        </w:rPr>
        <w:lastRenderedPageBreak/>
        <w:t>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19417933"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pridržavati postupovnih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68591989" w14:textId="77777777" w:rsidR="0013658A" w:rsidRPr="002A3C45" w:rsidRDefault="00FF4019" w:rsidP="00A17E53">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Tijeloteksta"/>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7FD3589D"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1C16A5A7" w14:textId="687DCB4C" w:rsidR="00EA2539" w:rsidRDefault="00EA2539" w:rsidP="00CF7C68">
      <w:pPr>
        <w:pStyle w:val="Tijeloteksta"/>
        <w:rPr>
          <w:sz w:val="24"/>
          <w:szCs w:val="24"/>
          <w:lang w:val="hr-HR"/>
        </w:rPr>
      </w:pPr>
    </w:p>
    <w:p w14:paraId="3CED237D" w14:textId="77777777" w:rsidR="00634D94" w:rsidRPr="002A3C45" w:rsidRDefault="00634D94" w:rsidP="00CF7C68">
      <w:pPr>
        <w:pStyle w:val="Tijeloteksta"/>
        <w:rPr>
          <w:sz w:val="24"/>
          <w:szCs w:val="24"/>
          <w:lang w:val="hr-HR"/>
        </w:rPr>
      </w:pPr>
    </w:p>
    <w:p w14:paraId="2BDDB0EA" w14:textId="7DB91945"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40F38E72"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lastRenderedPageBreak/>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4BFB1D82" w:rsidR="00AF54DE" w:rsidRDefault="00AF54DE" w:rsidP="00522738">
      <w:pPr>
        <w:tabs>
          <w:tab w:val="left" w:pos="450"/>
        </w:tabs>
        <w:spacing w:after="0" w:line="240" w:lineRule="auto"/>
        <w:rPr>
          <w:rFonts w:ascii="Times New Roman" w:hAnsi="Times New Roman"/>
          <w:sz w:val="24"/>
          <w:szCs w:val="24"/>
        </w:rPr>
      </w:pPr>
    </w:p>
    <w:p w14:paraId="7BA7D05A" w14:textId="6FF0FB83" w:rsidR="001F449C" w:rsidRDefault="001F449C" w:rsidP="00522738">
      <w:pPr>
        <w:tabs>
          <w:tab w:val="left" w:pos="450"/>
        </w:tabs>
        <w:spacing w:after="0" w:line="240" w:lineRule="auto"/>
        <w:rPr>
          <w:rFonts w:ascii="Times New Roman" w:hAnsi="Times New Roman"/>
          <w:sz w:val="24"/>
          <w:szCs w:val="24"/>
        </w:rPr>
      </w:pPr>
    </w:p>
    <w:p w14:paraId="0AEDC34F" w14:textId="5E6A64C5" w:rsidR="001F449C" w:rsidRDefault="001F449C" w:rsidP="00522738">
      <w:pPr>
        <w:tabs>
          <w:tab w:val="left" w:pos="450"/>
        </w:tabs>
        <w:spacing w:after="0" w:line="240" w:lineRule="auto"/>
        <w:rPr>
          <w:rFonts w:ascii="Times New Roman" w:hAnsi="Times New Roman"/>
          <w:sz w:val="24"/>
          <w:szCs w:val="24"/>
        </w:rPr>
      </w:pPr>
    </w:p>
    <w:p w14:paraId="32A8C6D0" w14:textId="0FDFECF6" w:rsidR="001F449C" w:rsidRDefault="001F449C"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lastRenderedPageBreak/>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779BBBB1" w14:textId="2C7C5D61" w:rsidR="00D62CB1" w:rsidRDefault="00D62CB1" w:rsidP="00962ADC">
      <w:pPr>
        <w:tabs>
          <w:tab w:val="left" w:pos="450"/>
        </w:tabs>
        <w:spacing w:after="0" w:line="240" w:lineRule="auto"/>
        <w:jc w:val="both"/>
        <w:rPr>
          <w:rFonts w:ascii="Times New Roman" w:hAnsi="Times New Roman"/>
          <w:sz w:val="24"/>
          <w:szCs w:val="24"/>
        </w:rPr>
      </w:pPr>
    </w:p>
    <w:p w14:paraId="3A171141" w14:textId="77777777"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t>Sredstva javne potpore</w:t>
      </w:r>
      <w:r w:rsidR="00FA379A" w:rsidRPr="008601AB">
        <w:rPr>
          <w:rFonts w:ascii="Times New Roman" w:hAnsi="Times New Roman"/>
          <w:sz w:val="24"/>
          <w:szCs w:val="24"/>
        </w:rPr>
        <w:t xml:space="preserve"> isplaćuj</w:t>
      </w:r>
      <w:r w:rsidR="00E76576">
        <w:rPr>
          <w:rFonts w:ascii="Times New Roman" w:hAnsi="Times New Roman"/>
          <w:sz w:val="24"/>
          <w:szCs w:val="24"/>
        </w:rPr>
        <w:t>u</w:t>
      </w:r>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r w:rsidR="00E76576" w:rsidRPr="00C36B36">
        <w:rPr>
          <w:rFonts w:ascii="Times New Roman" w:hAnsi="Times New Roman"/>
          <w:sz w:val="24"/>
          <w:szCs w:val="24"/>
        </w:rPr>
        <w:t xml:space="preserve">Glavnom </w:t>
      </w:r>
      <w:r w:rsidR="00E71577" w:rsidRPr="00C36B36">
        <w:rPr>
          <w:rFonts w:ascii="Times New Roman" w:hAnsi="Times New Roman"/>
          <w:sz w:val="24"/>
          <w:szCs w:val="24"/>
        </w:rPr>
        <w:t>p</w:t>
      </w:r>
      <w:r w:rsidR="008703ED" w:rsidRPr="00C36B36">
        <w:rPr>
          <w:rFonts w:ascii="Times New Roman" w:hAnsi="Times New Roman"/>
          <w:sz w:val="24"/>
          <w:szCs w:val="24"/>
        </w:rPr>
        <w:t>artneru</w:t>
      </w:r>
      <w:r w:rsidR="008703ED" w:rsidRPr="008601AB">
        <w:rPr>
          <w:rFonts w:ascii="Times New Roman" w:hAnsi="Times New Roman"/>
          <w:sz w:val="24"/>
          <w:szCs w:val="24"/>
        </w:rPr>
        <w:t xml:space="preserve"> koji je podnio </w:t>
      </w:r>
      <w:r w:rsidR="00E76576">
        <w:rPr>
          <w:rFonts w:ascii="Times New Roman" w:hAnsi="Times New Roman"/>
          <w:sz w:val="24"/>
          <w:szCs w:val="24"/>
        </w:rPr>
        <w:t>Z</w:t>
      </w:r>
      <w:r w:rsidR="008703ED" w:rsidRPr="008601AB">
        <w:rPr>
          <w:rFonts w:ascii="Times New Roman" w:hAnsi="Times New Roman"/>
          <w:sz w:val="24"/>
          <w:szCs w:val="24"/>
        </w:rPr>
        <w:t>ahtjev za isplatu</w:t>
      </w:r>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Tijeloteksta"/>
        <w:jc w:val="center"/>
        <w:rPr>
          <w:b/>
          <w:color w:val="000000"/>
          <w:sz w:val="24"/>
          <w:szCs w:val="24"/>
          <w:lang w:val="hr-HR"/>
        </w:rPr>
      </w:pPr>
    </w:p>
    <w:p w14:paraId="4D8DAE7C" w14:textId="056150B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Tijeloteksta"/>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lastRenderedPageBreak/>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Tijeloteksta"/>
        <w:rPr>
          <w:color w:val="000000"/>
          <w:sz w:val="24"/>
          <w:szCs w:val="24"/>
          <w:lang w:val="hr-HR"/>
        </w:rPr>
      </w:pPr>
    </w:p>
    <w:p w14:paraId="096FF84E" w14:textId="77777777" w:rsidR="00F200E2" w:rsidRDefault="00F200E2" w:rsidP="00A17E53">
      <w:pPr>
        <w:pStyle w:val="Tijeloteksta"/>
        <w:rPr>
          <w:color w:val="000000"/>
          <w:sz w:val="24"/>
          <w:szCs w:val="24"/>
          <w:lang w:val="hr-HR"/>
        </w:rPr>
      </w:pPr>
    </w:p>
    <w:p w14:paraId="04761060" w14:textId="77777777"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20F4CC4B"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Tijeloteksta"/>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49F95B36" w14:textId="77777777" w:rsidR="006616E6" w:rsidRDefault="006616E6" w:rsidP="00A17E53">
      <w:pPr>
        <w:pStyle w:val="Tijeloteksta"/>
        <w:jc w:val="center"/>
        <w:rPr>
          <w:b/>
          <w:color w:val="000000"/>
          <w:sz w:val="24"/>
          <w:szCs w:val="24"/>
          <w:lang w:val="hr-HR"/>
        </w:rPr>
      </w:pPr>
    </w:p>
    <w:p w14:paraId="25ABEC17" w14:textId="2D62FFBA"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lastRenderedPageBreak/>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Tijeloteksta"/>
        <w:tabs>
          <w:tab w:val="left" w:pos="360"/>
        </w:tabs>
        <w:rPr>
          <w:color w:val="000000"/>
          <w:sz w:val="24"/>
          <w:szCs w:val="24"/>
          <w:lang w:val="hr-HR"/>
        </w:rPr>
      </w:pPr>
    </w:p>
    <w:p w14:paraId="64958C68" w14:textId="77777777" w:rsidR="00F0499C" w:rsidRPr="00522738" w:rsidRDefault="00F0499C" w:rsidP="00522738">
      <w:pPr>
        <w:pStyle w:val="Tijeloteksta"/>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00CFAC3C" w14:textId="77777777" w:rsidR="000308AC" w:rsidRDefault="000308AC" w:rsidP="00A17E53">
      <w:pPr>
        <w:pStyle w:val="Tijeloteksta"/>
        <w:jc w:val="center"/>
        <w:rPr>
          <w:b/>
          <w:color w:val="000000"/>
          <w:sz w:val="24"/>
          <w:szCs w:val="24"/>
          <w:lang w:val="hr-HR"/>
        </w:rPr>
      </w:pPr>
    </w:p>
    <w:p w14:paraId="73EF6099" w14:textId="77777777" w:rsidR="000308AC" w:rsidRDefault="000308AC" w:rsidP="00A17E53">
      <w:pPr>
        <w:pStyle w:val="Tijeloteksta"/>
        <w:jc w:val="center"/>
        <w:rPr>
          <w:b/>
          <w:color w:val="000000"/>
          <w:sz w:val="24"/>
          <w:szCs w:val="24"/>
          <w:lang w:val="hr-HR"/>
        </w:rPr>
      </w:pPr>
    </w:p>
    <w:p w14:paraId="2D8BC5F1" w14:textId="77777777" w:rsidR="000308AC" w:rsidRDefault="000308AC" w:rsidP="00A17E53">
      <w:pPr>
        <w:pStyle w:val="Tijeloteksta"/>
        <w:jc w:val="center"/>
        <w:rPr>
          <w:b/>
          <w:color w:val="000000"/>
          <w:sz w:val="24"/>
          <w:szCs w:val="24"/>
          <w:lang w:val="hr-HR"/>
        </w:rPr>
      </w:pPr>
    </w:p>
    <w:p w14:paraId="58385177" w14:textId="4159CFF5"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Tijeloteksta"/>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60D57FA6" w14:textId="4F0FD056" w:rsidR="00D60A73" w:rsidRDefault="00E55557" w:rsidP="00A17E53">
      <w:pPr>
        <w:pStyle w:val="Tijeloteksta"/>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Tijeloteksta"/>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Tijeloteksta"/>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Tijeloteksta"/>
        <w:rPr>
          <w:color w:val="000000"/>
          <w:sz w:val="24"/>
          <w:szCs w:val="24"/>
          <w:lang w:val="hr-HR"/>
        </w:rPr>
      </w:pP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370A83D2" w:rsidR="00887F58" w:rsidRPr="002A3C45" w:rsidRDefault="00967EA3" w:rsidP="00A17E53">
      <w:pPr>
        <w:pStyle w:val="Tijeloteksta"/>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Tijeloteksta"/>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Tijeloteksta"/>
        <w:rPr>
          <w:color w:val="000000"/>
          <w:sz w:val="24"/>
          <w:szCs w:val="24"/>
          <w:lang w:val="hr-HR"/>
        </w:rPr>
      </w:pPr>
    </w:p>
    <w:p w14:paraId="23F89465" w14:textId="77777777" w:rsidR="00887F58" w:rsidRPr="002A3C45" w:rsidRDefault="00887F58" w:rsidP="00A17E53">
      <w:pPr>
        <w:pStyle w:val="Tijeloteksta"/>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bookmarkStart w:id="0" w:name="_Hlk179201018"/>
      <w:r w:rsidRPr="002A3C45">
        <w:rPr>
          <w:color w:val="000000"/>
          <w:sz w:val="24"/>
          <w:szCs w:val="24"/>
          <w:lang w:val="hr-HR"/>
        </w:rPr>
        <w:t xml:space="preserve">U ___________, dana __. __. ______. godine </w:t>
      </w:r>
    </w:p>
    <w:bookmarkEnd w:id="0"/>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2CB854F3" w:rsidR="00E55557" w:rsidRPr="002A3C45" w:rsidRDefault="00967EA3" w:rsidP="00E55557">
      <w:pPr>
        <w:pStyle w:val="Tijeloteksta"/>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Tijeloteksta"/>
        <w:rPr>
          <w:color w:val="000000"/>
          <w:sz w:val="24"/>
          <w:szCs w:val="24"/>
          <w:lang w:val="hr-HR"/>
        </w:rPr>
      </w:pPr>
    </w:p>
    <w:p w14:paraId="3259A70A" w14:textId="77777777" w:rsidR="00E55557" w:rsidRPr="002A3C45" w:rsidRDefault="00E55557" w:rsidP="00E55557">
      <w:pPr>
        <w:pStyle w:val="Tijeloteksta"/>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3D5AFAD0" w14:textId="77777777" w:rsidR="00635266" w:rsidRPr="002A3C45" w:rsidRDefault="00635266" w:rsidP="00635266">
      <w:pPr>
        <w:pStyle w:val="Tijeloteksta"/>
        <w:rPr>
          <w:color w:val="000000"/>
          <w:sz w:val="24"/>
          <w:szCs w:val="24"/>
          <w:lang w:val="hr-HR"/>
        </w:rPr>
      </w:pPr>
      <w:r w:rsidRPr="002A3C45">
        <w:rPr>
          <w:color w:val="000000"/>
          <w:sz w:val="24"/>
          <w:szCs w:val="24"/>
          <w:lang w:val="hr-HR"/>
        </w:rPr>
        <w:lastRenderedPageBreak/>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8A6AAC">
      <w:headerReference w:type="default" r:id="rId13"/>
      <w:footerReference w:type="default" r:id="rId14"/>
      <w:headerReference w:type="first" r:id="rId15"/>
      <w:footerReference w:type="first" r:id="rId16"/>
      <w:pgSz w:w="11906" w:h="16838"/>
      <w:pgMar w:top="1276"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483A" w14:textId="77777777" w:rsidR="00205472" w:rsidRDefault="00205472" w:rsidP="003229EF">
      <w:pPr>
        <w:spacing w:after="0" w:line="240" w:lineRule="auto"/>
      </w:pPr>
      <w:r>
        <w:separator/>
      </w:r>
    </w:p>
  </w:endnote>
  <w:endnote w:type="continuationSeparator" w:id="0">
    <w:p w14:paraId="7083493B" w14:textId="77777777" w:rsidR="00205472" w:rsidRDefault="00205472"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452B97" w:rsidP="00ED78E7">
    <w:pPr>
      <w:pStyle w:val="Podnoje"/>
    </w:pPr>
    <w:fldSimple w:instr=" FILENAME   \* MERGEFORMAT ">
      <w:r w:rsidR="00786DA4">
        <w:rPr>
          <w:noProof/>
        </w:rPr>
        <w:t>Obrazac A. Sporazum o suradnji 25112019.docx</w:t>
      </w:r>
    </w:fldSimple>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sidR="00786DA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6CDC" w14:textId="77777777" w:rsidR="00205472" w:rsidRDefault="00205472" w:rsidP="003229EF">
      <w:pPr>
        <w:spacing w:after="0" w:line="240" w:lineRule="auto"/>
      </w:pPr>
      <w:r>
        <w:separator/>
      </w:r>
    </w:p>
  </w:footnote>
  <w:footnote w:type="continuationSeparator" w:id="0">
    <w:p w14:paraId="65B9F96C" w14:textId="77777777" w:rsidR="00205472" w:rsidRDefault="00205472"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61C85560" w:rsidR="00964709" w:rsidRDefault="00964709" w:rsidP="001D13EE">
    <w:pPr>
      <w:pStyle w:val="Zaglavlje"/>
      <w:tabs>
        <w:tab w:val="clear" w:pos="9072"/>
        <w:tab w:val="left" w:pos="7037"/>
      </w:tabs>
    </w:pPr>
    <w:r>
      <w:t xml:space="preserve">                  </w:t>
    </w:r>
    <w:r w:rsidR="007C66D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9"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12498397">
    <w:abstractNumId w:val="54"/>
  </w:num>
  <w:num w:numId="2" w16cid:durableId="360983806">
    <w:abstractNumId w:val="9"/>
  </w:num>
  <w:num w:numId="3" w16cid:durableId="1884753001">
    <w:abstractNumId w:val="49"/>
  </w:num>
  <w:num w:numId="4" w16cid:durableId="836649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4654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056097">
    <w:abstractNumId w:val="48"/>
  </w:num>
  <w:num w:numId="7" w16cid:durableId="175972553">
    <w:abstractNumId w:val="13"/>
  </w:num>
  <w:num w:numId="8" w16cid:durableId="228460936">
    <w:abstractNumId w:val="41"/>
  </w:num>
  <w:num w:numId="9" w16cid:durableId="1983460230">
    <w:abstractNumId w:val="20"/>
  </w:num>
  <w:num w:numId="10" w16cid:durableId="1407193344">
    <w:abstractNumId w:val="39"/>
  </w:num>
  <w:num w:numId="11" w16cid:durableId="2105685040">
    <w:abstractNumId w:val="32"/>
  </w:num>
  <w:num w:numId="12" w16cid:durableId="54474664">
    <w:abstractNumId w:val="11"/>
  </w:num>
  <w:num w:numId="13" w16cid:durableId="2020306296">
    <w:abstractNumId w:val="10"/>
  </w:num>
  <w:num w:numId="14" w16cid:durableId="431322402">
    <w:abstractNumId w:val="22"/>
  </w:num>
  <w:num w:numId="15" w16cid:durableId="1504082374">
    <w:abstractNumId w:val="6"/>
  </w:num>
  <w:num w:numId="16" w16cid:durableId="487867043">
    <w:abstractNumId w:val="29"/>
  </w:num>
  <w:num w:numId="17" w16cid:durableId="1772433535">
    <w:abstractNumId w:val="16"/>
  </w:num>
  <w:num w:numId="18" w16cid:durableId="1077022646">
    <w:abstractNumId w:val="31"/>
  </w:num>
  <w:num w:numId="19" w16cid:durableId="1202670023">
    <w:abstractNumId w:val="47"/>
  </w:num>
  <w:num w:numId="20" w16cid:durableId="1223521810">
    <w:abstractNumId w:val="43"/>
  </w:num>
  <w:num w:numId="21" w16cid:durableId="1669601588">
    <w:abstractNumId w:val="50"/>
  </w:num>
  <w:num w:numId="22" w16cid:durableId="864948729">
    <w:abstractNumId w:val="45"/>
  </w:num>
  <w:num w:numId="23" w16cid:durableId="1325817995">
    <w:abstractNumId w:val="44"/>
  </w:num>
  <w:num w:numId="24" w16cid:durableId="1400058857">
    <w:abstractNumId w:val="5"/>
  </w:num>
  <w:num w:numId="25" w16cid:durableId="1374572588">
    <w:abstractNumId w:val="18"/>
  </w:num>
  <w:num w:numId="26" w16cid:durableId="16392482">
    <w:abstractNumId w:val="7"/>
  </w:num>
  <w:num w:numId="27" w16cid:durableId="1682246177">
    <w:abstractNumId w:val="25"/>
  </w:num>
  <w:num w:numId="28" w16cid:durableId="1286738132">
    <w:abstractNumId w:val="40"/>
  </w:num>
  <w:num w:numId="29" w16cid:durableId="523129907">
    <w:abstractNumId w:val="21"/>
  </w:num>
  <w:num w:numId="30" w16cid:durableId="1342125164">
    <w:abstractNumId w:val="0"/>
  </w:num>
  <w:num w:numId="31" w16cid:durableId="2136488517">
    <w:abstractNumId w:val="15"/>
  </w:num>
  <w:num w:numId="32" w16cid:durableId="1270308295">
    <w:abstractNumId w:val="36"/>
  </w:num>
  <w:num w:numId="33" w16cid:durableId="798036366">
    <w:abstractNumId w:val="38"/>
  </w:num>
  <w:num w:numId="34" w16cid:durableId="505288540">
    <w:abstractNumId w:val="52"/>
  </w:num>
  <w:num w:numId="35" w16cid:durableId="2037000246">
    <w:abstractNumId w:val="46"/>
  </w:num>
  <w:num w:numId="36" w16cid:durableId="825586942">
    <w:abstractNumId w:val="3"/>
  </w:num>
  <w:num w:numId="37" w16cid:durableId="1503426113">
    <w:abstractNumId w:val="1"/>
  </w:num>
  <w:num w:numId="38" w16cid:durableId="1102802297">
    <w:abstractNumId w:val="2"/>
  </w:num>
  <w:num w:numId="39" w16cid:durableId="132218308">
    <w:abstractNumId w:val="35"/>
  </w:num>
  <w:num w:numId="40" w16cid:durableId="1485508365">
    <w:abstractNumId w:val="24"/>
  </w:num>
  <w:num w:numId="41" w16cid:durableId="1507018880">
    <w:abstractNumId w:val="14"/>
  </w:num>
  <w:num w:numId="42" w16cid:durableId="1185170577">
    <w:abstractNumId w:val="8"/>
  </w:num>
  <w:num w:numId="43" w16cid:durableId="1142770520">
    <w:abstractNumId w:val="23"/>
  </w:num>
  <w:num w:numId="44" w16cid:durableId="564491846">
    <w:abstractNumId w:val="33"/>
  </w:num>
  <w:num w:numId="45" w16cid:durableId="1458182772">
    <w:abstractNumId w:val="42"/>
  </w:num>
  <w:num w:numId="46" w16cid:durableId="1777140720">
    <w:abstractNumId w:val="4"/>
  </w:num>
  <w:num w:numId="47" w16cid:durableId="1723559580">
    <w:abstractNumId w:val="30"/>
  </w:num>
  <w:num w:numId="48" w16cid:durableId="2056463732">
    <w:abstractNumId w:val="28"/>
  </w:num>
  <w:num w:numId="49" w16cid:durableId="890918131">
    <w:abstractNumId w:val="26"/>
  </w:num>
  <w:num w:numId="50" w16cid:durableId="1525511685">
    <w:abstractNumId w:val="17"/>
  </w:num>
  <w:num w:numId="51" w16cid:durableId="946350777">
    <w:abstractNumId w:val="27"/>
  </w:num>
  <w:num w:numId="52" w16cid:durableId="1912111077">
    <w:abstractNumId w:val="19"/>
  </w:num>
  <w:num w:numId="53" w16cid:durableId="770735426">
    <w:abstractNumId w:val="12"/>
  </w:num>
  <w:num w:numId="54" w16cid:durableId="1719085279">
    <w:abstractNumId w:val="53"/>
  </w:num>
  <w:num w:numId="55" w16cid:durableId="286201867">
    <w:abstractNumId w:val="51"/>
  </w:num>
  <w:num w:numId="56" w16cid:durableId="18841905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3EAF"/>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2D30"/>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6C96"/>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2201"/>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Props1.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2.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customXml/itemProps3.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4.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C523BE-5F79-4FDC-874D-FC0F27AD6C0F}">
  <ds:schemaRefs>
    <ds:schemaRef ds:uri="1096e588-875a-4e48-ba85-ea1554ece10c"/>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2618</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Ivana Hajdinjak</cp:lastModifiedBy>
  <cp:revision>3</cp:revision>
  <cp:lastPrinted>2019-11-25T08:16:00Z</cp:lastPrinted>
  <dcterms:created xsi:type="dcterms:W3CDTF">2026-02-17T10:58:00Z</dcterms:created>
  <dcterms:modified xsi:type="dcterms:W3CDTF">2026-02-18T08:33:00Z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